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8DC0" w14:textId="77777777" w:rsidR="00C154A1" w:rsidRPr="00F51E0B" w:rsidRDefault="00BF1EE2" w:rsidP="00A83BF0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14:paraId="3ED4D57F" w14:textId="3F2DB7F5" w:rsidR="000A4E18" w:rsidRPr="00A83BF0" w:rsidRDefault="00E837D6" w:rsidP="00A83BF0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color w:val="333333"/>
          <w:sz w:val="26"/>
          <w:szCs w:val="26"/>
        </w:rPr>
        <w:t>Илоскреба</w:t>
      </w:r>
      <w:proofErr w:type="spellEnd"/>
      <w:r>
        <w:rPr>
          <w:rFonts w:ascii="Arial" w:hAnsi="Arial" w:cs="Arial"/>
          <w:b/>
          <w:color w:val="333333"/>
          <w:sz w:val="26"/>
          <w:szCs w:val="26"/>
        </w:rPr>
        <w:t xml:space="preserve"> радиального отстойника</w:t>
      </w:r>
    </w:p>
    <w:p w14:paraId="060F3A53" w14:textId="77777777"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14:paraId="113D4165" w14:textId="77777777"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14:paraId="76027EDA" w14:textId="77777777"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58C9761E" w14:textId="77777777"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43C53FBB" w14:textId="77777777"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012AB2D1" w14:textId="77777777"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5E1AB325" w14:textId="77777777"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E41D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14:paraId="41578DA0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56E109BE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123F96F7" w14:textId="77777777"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2C8F4C83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14:paraId="1076FBB5" w14:textId="77777777"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14:paraId="3FA3187C" w14:textId="77777777" w:rsidR="005C6C3F" w:rsidRDefault="00E837D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Номер типового проекта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: ___________,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 нет   </w:t>
      </w:r>
    </w:p>
    <w:p w14:paraId="6EEF1CB1" w14:textId="77777777" w:rsidR="00F7444D" w:rsidRDefault="00E837D6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Тип строительства</w:t>
      </w:r>
      <w:r w:rsidR="00F7444D"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6"/>
          <w:szCs w:val="26"/>
        </w:rPr>
        <w:t xml:space="preserve">  </w:t>
      </w:r>
      <w:r w:rsidR="00F7444D" w:rsidRPr="001718EB">
        <w:rPr>
          <w:rFonts w:ascii="Arial" w:hAnsi="Arial" w:cs="Arial"/>
          <w:sz w:val="26"/>
          <w:szCs w:val="26"/>
        </w:rPr>
        <w:t xml:space="preserve">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 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новое,  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6"/>
          <w:szCs w:val="26"/>
        </w:rPr>
        <w:t xml:space="preserve"> реконструкция</w:t>
      </w:r>
    </w:p>
    <w:p w14:paraId="662CB5B9" w14:textId="77777777"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 xml:space="preserve">Диаметр отстойника, (м):  </w:t>
      </w:r>
      <w:r>
        <w:rPr>
          <w:rFonts w:ascii="Arial" w:hAnsi="Arial" w:cs="Arial"/>
          <w:color w:val="333333"/>
          <w:sz w:val="26"/>
          <w:szCs w:val="26"/>
        </w:rPr>
        <w:t>______________</w:t>
      </w:r>
    </w:p>
    <w:p w14:paraId="5C446B1F" w14:textId="77777777"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Приводная тележка</w:t>
      </w:r>
      <w:r w:rsidR="001718EB"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6"/>
          <w:szCs w:val="26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задний привод,</w:t>
      </w:r>
      <w:r>
        <w:rPr>
          <w:rFonts w:ascii="Arial" w:hAnsi="Arial" w:cs="Arial"/>
          <w:color w:val="333333"/>
          <w:sz w:val="28"/>
          <w:szCs w:val="28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полный привод</w:t>
      </w:r>
    </w:p>
    <w:p w14:paraId="47CE7A33" w14:textId="77777777"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 xml:space="preserve">Удаление плавающих в-в (УПВ):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F7444D">
        <w:rPr>
          <w:rFonts w:ascii="Arial" w:hAnsi="Arial" w:cs="Arial"/>
          <w:color w:val="333333"/>
          <w:sz w:val="26"/>
          <w:szCs w:val="26"/>
        </w:rPr>
        <w:t>да</w:t>
      </w:r>
      <w:r>
        <w:rPr>
          <w:rFonts w:ascii="Arial" w:hAnsi="Arial" w:cs="Arial"/>
          <w:color w:val="333333"/>
          <w:sz w:val="28"/>
          <w:szCs w:val="28"/>
        </w:rPr>
        <w:t xml:space="preserve">,   </w:t>
      </w:r>
      <w:proofErr w:type="gramEnd"/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нет</w:t>
      </w:r>
    </w:p>
    <w:p w14:paraId="5732CC9E" w14:textId="77777777" w:rsidR="00F7444D" w:rsidRDefault="00F7444D" w:rsidP="00725F01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>Материал моста</w:t>
      </w:r>
      <w:r w:rsidR="007767E2"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6"/>
          <w:szCs w:val="26"/>
        </w:rPr>
        <w:t xml:space="preserve"> </w:t>
      </w:r>
      <w:r w:rsidR="007767E2" w:rsidRPr="001718EB">
        <w:rPr>
          <w:rFonts w:ascii="Arial" w:hAnsi="Arial" w:cs="Arial"/>
          <w:sz w:val="26"/>
          <w:szCs w:val="26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>конструкционная</w:t>
      </w:r>
      <w:r w:rsidRPr="00F7444D">
        <w:rPr>
          <w:rFonts w:ascii="Arial" w:hAnsi="Arial" w:cs="Arial"/>
          <w:color w:val="333333"/>
          <w:sz w:val="26"/>
          <w:szCs w:val="26"/>
        </w:rPr>
        <w:t xml:space="preserve"> сталь +</w:t>
      </w:r>
      <w:r w:rsidR="007767E2">
        <w:rPr>
          <w:rFonts w:ascii="Arial" w:hAnsi="Arial" w:cs="Arial"/>
          <w:color w:val="333333"/>
          <w:sz w:val="26"/>
          <w:szCs w:val="26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 xml:space="preserve">спец. </w:t>
      </w:r>
      <w:r w:rsidR="007767E2">
        <w:rPr>
          <w:rFonts w:ascii="Arial" w:hAnsi="Arial" w:cs="Arial"/>
          <w:color w:val="333333"/>
          <w:sz w:val="26"/>
          <w:szCs w:val="26"/>
        </w:rPr>
        <w:t>п</w:t>
      </w:r>
      <w:r w:rsidRPr="00F7444D">
        <w:rPr>
          <w:rFonts w:ascii="Arial" w:hAnsi="Arial" w:cs="Arial"/>
          <w:color w:val="333333"/>
          <w:sz w:val="26"/>
          <w:szCs w:val="26"/>
        </w:rPr>
        <w:t>окрытие</w:t>
      </w:r>
    </w:p>
    <w:p w14:paraId="52E0BE49" w14:textId="77777777" w:rsidR="00F7444D" w:rsidRDefault="007767E2" w:rsidP="00725F01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7767E2">
        <w:rPr>
          <w:rFonts w:ascii="Arial" w:hAnsi="Arial" w:cs="Arial"/>
          <w:color w:val="333333"/>
          <w:sz w:val="10"/>
          <w:szCs w:val="10"/>
        </w:rPr>
        <w:t xml:space="preserve">    </w:t>
      </w:r>
      <w:r w:rsidR="00F7444D" w:rsidRPr="007767E2">
        <w:rPr>
          <w:rFonts w:ascii="Arial" w:hAnsi="Arial" w:cs="Arial"/>
          <w:color w:val="333333"/>
          <w:sz w:val="10"/>
          <w:szCs w:val="10"/>
        </w:rPr>
        <w:t xml:space="preserve">   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</w:t>
      </w:r>
      <w:r>
        <w:rPr>
          <w:rFonts w:ascii="Arial" w:hAnsi="Arial" w:cs="Arial"/>
          <w:color w:val="333333"/>
          <w:sz w:val="10"/>
          <w:szCs w:val="10"/>
        </w:rPr>
        <w:t xml:space="preserve">                                </w:t>
      </w:r>
      <w:r w:rsidR="00F7444D" w:rsidRPr="007767E2">
        <w:rPr>
          <w:rFonts w:ascii="Arial" w:hAnsi="Arial" w:cs="Arial"/>
          <w:color w:val="333333"/>
          <w:sz w:val="10"/>
          <w:szCs w:val="10"/>
        </w:rPr>
        <w:t xml:space="preserve">    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  </w:t>
      </w:r>
      <w:r w:rsidRPr="007767E2">
        <w:rPr>
          <w:rFonts w:ascii="Arial" w:hAnsi="Arial" w:cs="Arial"/>
          <w:color w:val="333333"/>
          <w:sz w:val="30"/>
          <w:szCs w:val="30"/>
        </w:rPr>
        <w:t xml:space="preserve"> </w:t>
      </w:r>
      <w:r w:rsidRPr="007767E2">
        <w:rPr>
          <w:rFonts w:ascii="Arial" w:hAnsi="Arial" w:cs="Arial"/>
          <w:color w:val="333333"/>
          <w:sz w:val="26"/>
          <w:szCs w:val="26"/>
        </w:rPr>
        <w:t xml:space="preserve"> </w:t>
      </w:r>
      <w:r w:rsidR="00F7444D" w:rsidRPr="007767E2">
        <w:rPr>
          <w:rFonts w:ascii="Arial" w:hAnsi="Arial" w:cs="Arial"/>
          <w:color w:val="333333"/>
          <w:sz w:val="26"/>
          <w:szCs w:val="26"/>
        </w:rPr>
        <w:t xml:space="preserve">        </w:t>
      </w:r>
      <w:r w:rsidRPr="007767E2">
        <w:rPr>
          <w:rFonts w:ascii="Arial" w:hAnsi="Arial" w:cs="Arial"/>
          <w:color w:val="333333"/>
          <w:sz w:val="26"/>
          <w:szCs w:val="26"/>
        </w:rPr>
        <w:t xml:space="preserve">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8"/>
          <w:szCs w:val="28"/>
        </w:rPr>
        <w:t xml:space="preserve"> </w:t>
      </w:r>
      <w:r w:rsidR="00F7444D" w:rsidRPr="00F7444D">
        <w:rPr>
          <w:rFonts w:ascii="Arial" w:hAnsi="Arial" w:cs="Arial"/>
          <w:color w:val="333333"/>
          <w:sz w:val="26"/>
          <w:szCs w:val="26"/>
        </w:rPr>
        <w:t>нержавеющая сталь</w:t>
      </w:r>
    </w:p>
    <w:p w14:paraId="12F0DE26" w14:textId="77777777" w:rsidR="00F7444D" w:rsidRDefault="007767E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z w:val="10"/>
          <w:szCs w:val="10"/>
        </w:rPr>
        <w:t xml:space="preserve">                                        </w:t>
      </w:r>
      <w:r w:rsidR="00F7444D">
        <w:rPr>
          <w:rFonts w:ascii="Arial" w:hAnsi="Arial" w:cs="Arial"/>
          <w:color w:val="333333"/>
          <w:sz w:val="28"/>
          <w:szCs w:val="28"/>
        </w:rPr>
        <w:t xml:space="preserve">           </w:t>
      </w:r>
      <w:r>
        <w:rPr>
          <w:rFonts w:ascii="Arial" w:hAnsi="Arial" w:cs="Arial"/>
          <w:color w:val="333333"/>
          <w:sz w:val="28"/>
          <w:szCs w:val="28"/>
        </w:rPr>
        <w:t xml:space="preserve">  </w:t>
      </w:r>
      <w:r w:rsidR="00F7444D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F7444D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F7444D">
        <w:rPr>
          <w:rFonts w:ascii="Arial" w:hAnsi="Arial" w:cs="Arial"/>
          <w:color w:val="333333"/>
          <w:sz w:val="28"/>
          <w:szCs w:val="28"/>
        </w:rPr>
        <w:t xml:space="preserve"> </w:t>
      </w:r>
      <w:r w:rsidR="00F7444D" w:rsidRPr="00F7444D">
        <w:rPr>
          <w:rFonts w:ascii="Arial" w:hAnsi="Arial" w:cs="Arial"/>
          <w:color w:val="333333"/>
          <w:sz w:val="26"/>
          <w:szCs w:val="26"/>
        </w:rPr>
        <w:t>алюминиевый сплав</w:t>
      </w:r>
    </w:p>
    <w:p w14:paraId="3D87134C" w14:textId="77777777" w:rsidR="007767E2" w:rsidRDefault="00F7444D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>Материал подводной части</w:t>
      </w:r>
      <w:r w:rsidR="007767E2" w:rsidRPr="001718EB">
        <w:rPr>
          <w:rFonts w:ascii="Arial" w:hAnsi="Arial" w:cs="Arial"/>
          <w:sz w:val="26"/>
          <w:szCs w:val="26"/>
        </w:rPr>
        <w:t xml:space="preserve">:  </w:t>
      </w:r>
      <w:r w:rsidR="007767E2"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="007767E2"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 w:rsidR="007767E2">
        <w:rPr>
          <w:rFonts w:ascii="Arial" w:hAnsi="Arial" w:cs="Arial"/>
          <w:color w:val="333333"/>
          <w:sz w:val="28"/>
          <w:szCs w:val="28"/>
        </w:rPr>
        <w:t xml:space="preserve"> 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>конструкционная сталь +</w:t>
      </w:r>
      <w:r w:rsidR="007767E2">
        <w:rPr>
          <w:rFonts w:ascii="Arial" w:hAnsi="Arial" w:cs="Arial"/>
          <w:color w:val="333333"/>
          <w:sz w:val="26"/>
          <w:szCs w:val="26"/>
        </w:rPr>
        <w:t xml:space="preserve"> 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 xml:space="preserve">спец. </w:t>
      </w:r>
      <w:r w:rsidR="007767E2">
        <w:rPr>
          <w:rFonts w:ascii="Arial" w:hAnsi="Arial" w:cs="Arial"/>
          <w:color w:val="333333"/>
          <w:sz w:val="26"/>
          <w:szCs w:val="26"/>
        </w:rPr>
        <w:t>п</w:t>
      </w:r>
      <w:r w:rsidR="007767E2" w:rsidRPr="00F7444D">
        <w:rPr>
          <w:rFonts w:ascii="Arial" w:hAnsi="Arial" w:cs="Arial"/>
          <w:color w:val="333333"/>
          <w:sz w:val="26"/>
          <w:szCs w:val="26"/>
        </w:rPr>
        <w:t>окрытие</w:t>
      </w:r>
    </w:p>
    <w:p w14:paraId="01FC2CFF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0"/>
          <w:szCs w:val="10"/>
        </w:rPr>
        <w:t xml:space="preserve">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                           </w:t>
      </w:r>
      <w:r>
        <w:rPr>
          <w:rFonts w:ascii="Arial" w:hAnsi="Arial" w:cs="Arial"/>
          <w:color w:val="333333"/>
          <w:sz w:val="10"/>
          <w:szCs w:val="10"/>
        </w:rPr>
        <w:t xml:space="preserve">                       </w:t>
      </w:r>
      <w:r w:rsidRPr="007767E2">
        <w:rPr>
          <w:rFonts w:ascii="Arial" w:hAnsi="Arial" w:cs="Arial"/>
          <w:color w:val="333333"/>
          <w:sz w:val="10"/>
          <w:szCs w:val="10"/>
        </w:rPr>
        <w:t xml:space="preserve">                                    </w:t>
      </w:r>
      <w:r>
        <w:rPr>
          <w:rFonts w:ascii="Arial" w:hAnsi="Arial" w:cs="Arial"/>
          <w:color w:val="333333"/>
          <w:sz w:val="28"/>
          <w:szCs w:val="28"/>
        </w:rPr>
        <w:t xml:space="preserve">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нержавеющая сталь</w:t>
      </w:r>
    </w:p>
    <w:p w14:paraId="4256D2B5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 xml:space="preserve">Материал центрального отражателя: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пластик</w:t>
      </w:r>
    </w:p>
    <w:p w14:paraId="17DE39B5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нержавеющая сталь</w:t>
      </w:r>
    </w:p>
    <w:p w14:paraId="435897F7" w14:textId="77777777" w:rsidR="007767E2" w:rsidRP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38CAB5F3" w14:textId="77777777" w:rsidR="007767E2" w:rsidRP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 xml:space="preserve">Дополнительное оборудование:    </w:t>
      </w:r>
      <w:r w:rsidRPr="001718EB">
        <w:rPr>
          <w:rFonts w:ascii="Arial" w:hAnsi="Arial" w:cs="Arial"/>
          <w:sz w:val="28"/>
          <w:szCs w:val="28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зубчатый перелив</w:t>
      </w:r>
    </w:p>
    <w:p w14:paraId="53B2EF3D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полупогружная доска</w:t>
      </w:r>
    </w:p>
    <w:p w14:paraId="1290C756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устройство очистки беговой дорожки</w:t>
      </w:r>
    </w:p>
    <w:p w14:paraId="573BEF5B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кромкоочиститель</w:t>
      </w:r>
      <w:proofErr w:type="spellEnd"/>
    </w:p>
    <w:p w14:paraId="315A49FB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система АСУ</w:t>
      </w:r>
    </w:p>
    <w:p w14:paraId="6FD4E671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 w:rsidRPr="001718EB">
        <w:rPr>
          <w:rFonts w:ascii="Arial" w:hAnsi="Arial" w:cs="Arial"/>
          <w:sz w:val="26"/>
          <w:szCs w:val="26"/>
        </w:rPr>
        <w:t>Расположение шкафа управления:</w:t>
      </w:r>
      <w:r w:rsidRPr="001718EB">
        <w:rPr>
          <w:rFonts w:ascii="Arial" w:hAnsi="Arial" w:cs="Arial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мост</w:t>
      </w:r>
    </w:p>
    <w:p w14:paraId="55996919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рядом с отстойником</w:t>
      </w:r>
    </w:p>
    <w:p w14:paraId="7961BB38" w14:textId="77777777" w:rsidR="007767E2" w:rsidRDefault="007767E2" w:rsidP="007767E2">
      <w:pPr>
        <w:spacing w:line="300" w:lineRule="auto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       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помещение  расстояние ________(м)</w:t>
      </w:r>
    </w:p>
    <w:p w14:paraId="35585D10" w14:textId="77777777" w:rsidR="00E837D6" w:rsidRDefault="001718EB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proofErr w:type="gramStart"/>
      <w:r w:rsidRPr="001718EB">
        <w:rPr>
          <w:rFonts w:ascii="Arial" w:hAnsi="Arial" w:cs="Arial"/>
          <w:sz w:val="26"/>
          <w:szCs w:val="26"/>
        </w:rPr>
        <w:t>Шеф-монтаж</w:t>
      </w:r>
      <w:proofErr w:type="gramEnd"/>
      <w:r w:rsidRPr="001718EB">
        <w:rPr>
          <w:rFonts w:ascii="Arial" w:hAnsi="Arial" w:cs="Arial"/>
          <w:sz w:val="26"/>
          <w:szCs w:val="26"/>
        </w:rPr>
        <w:t>:</w:t>
      </w:r>
      <w:r w:rsidRPr="001718EB">
        <w:rPr>
          <w:rFonts w:ascii="Arial" w:hAnsi="Arial" w:cs="Arial"/>
          <w:sz w:val="28"/>
          <w:szCs w:val="28"/>
        </w:rPr>
        <w:t xml:space="preserve"> 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да, 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7444D">
        <w:rPr>
          <w:rFonts w:ascii="Arial" w:hAnsi="Arial" w:cs="Arial"/>
          <w:color w:val="333333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F7444D">
        <w:rPr>
          <w:rFonts w:ascii="Arial" w:hAnsi="Arial" w:cs="Arial"/>
          <w:color w:val="333333"/>
          <w:sz w:val="26"/>
          <w:szCs w:val="26"/>
        </w:rPr>
        <w:t>не</w:t>
      </w:r>
      <w:r>
        <w:rPr>
          <w:rFonts w:ascii="Arial" w:hAnsi="Arial" w:cs="Arial"/>
          <w:color w:val="333333"/>
          <w:sz w:val="26"/>
          <w:szCs w:val="26"/>
        </w:rPr>
        <w:t>т</w:t>
      </w:r>
    </w:p>
    <w:p w14:paraId="19F70342" w14:textId="77777777" w:rsidR="001718EB" w:rsidRDefault="001718EB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3444C9A7" w14:textId="77777777" w:rsidR="001718EB" w:rsidRPr="00604BF7" w:rsidRDefault="001718EB" w:rsidP="001718EB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1718EB">
        <w:rPr>
          <w:rFonts w:ascii="Arial" w:hAnsi="Arial" w:cs="Arial"/>
          <w:sz w:val="26"/>
          <w:szCs w:val="26"/>
        </w:rPr>
        <w:t>Скорость вращения, (об/</w:t>
      </w:r>
      <w:proofErr w:type="gramStart"/>
      <w:r w:rsidRPr="001718EB">
        <w:rPr>
          <w:rFonts w:ascii="Arial" w:hAnsi="Arial" w:cs="Arial"/>
          <w:sz w:val="26"/>
          <w:szCs w:val="26"/>
        </w:rPr>
        <w:t xml:space="preserve">мин)  </w:t>
      </w:r>
      <w:r>
        <w:rPr>
          <w:rFonts w:ascii="Arial" w:hAnsi="Arial" w:cs="Arial"/>
          <w:color w:val="333333"/>
          <w:sz w:val="26"/>
          <w:szCs w:val="26"/>
        </w:rPr>
        <w:t>_</w:t>
      </w:r>
      <w:proofErr w:type="gramEnd"/>
      <w:r>
        <w:rPr>
          <w:rFonts w:ascii="Arial" w:hAnsi="Arial" w:cs="Arial"/>
          <w:color w:val="333333"/>
          <w:sz w:val="26"/>
          <w:szCs w:val="26"/>
        </w:rPr>
        <w:t>___________</w:t>
      </w:r>
    </w:p>
    <w:p w14:paraId="4DF8DADE" w14:textId="77777777" w:rsidR="00E837D6" w:rsidRDefault="001718EB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2DB754F" wp14:editId="78303954">
            <wp:simplePos x="0" y="0"/>
            <wp:positionH relativeFrom="column">
              <wp:posOffset>-514350</wp:posOffset>
            </wp:positionH>
            <wp:positionV relativeFrom="paragraph">
              <wp:posOffset>314960</wp:posOffset>
            </wp:positionV>
            <wp:extent cx="7541260" cy="3002280"/>
            <wp:effectExtent l="0" t="0" r="2540" b="7620"/>
            <wp:wrapTight wrapText="bothSides">
              <wp:wrapPolygon edited="0">
                <wp:start x="0" y="0"/>
                <wp:lineTo x="0" y="21518"/>
                <wp:lineTo x="21553" y="21518"/>
                <wp:lineTo x="21553" y="0"/>
                <wp:lineTo x="0" y="0"/>
              </wp:wrapPolygon>
            </wp:wrapTight>
            <wp:docPr id="1" name="Рисунок 1" descr="Общи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й ви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5043" w14:textId="77777777" w:rsidR="00E837D6" w:rsidRPr="00E837D6" w:rsidRDefault="00E837D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tbl>
      <w:tblPr>
        <w:tblpPr w:leftFromText="180" w:rightFromText="180" w:vertAnchor="text" w:horzAnchor="margin" w:tblpXSpec="center" w:tblpY="303"/>
        <w:tblW w:w="102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526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718EB" w:rsidRPr="00E837D6" w14:paraId="038AC79C" w14:textId="77777777" w:rsidTr="001718EB">
        <w:tc>
          <w:tcPr>
            <w:tcW w:w="1526" w:type="dxa"/>
            <w:shd w:val="pct5" w:color="auto" w:fill="auto"/>
          </w:tcPr>
          <w:p w14:paraId="6AA0FD78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</w:rPr>
              <w:t>Параметр</w:t>
            </w:r>
          </w:p>
        </w:tc>
        <w:tc>
          <w:tcPr>
            <w:tcW w:w="668" w:type="dxa"/>
            <w:shd w:val="pct5" w:color="auto" w:fill="auto"/>
          </w:tcPr>
          <w:p w14:paraId="3D28CA59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B</w:t>
            </w:r>
          </w:p>
        </w:tc>
        <w:tc>
          <w:tcPr>
            <w:tcW w:w="669" w:type="dxa"/>
            <w:shd w:val="pct5" w:color="auto" w:fill="auto"/>
          </w:tcPr>
          <w:p w14:paraId="60E7856E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D</w:t>
            </w:r>
          </w:p>
        </w:tc>
        <w:tc>
          <w:tcPr>
            <w:tcW w:w="669" w:type="dxa"/>
            <w:shd w:val="pct5" w:color="auto" w:fill="auto"/>
          </w:tcPr>
          <w:p w14:paraId="2CF6C9A5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h</w:t>
            </w:r>
          </w:p>
        </w:tc>
        <w:tc>
          <w:tcPr>
            <w:tcW w:w="669" w:type="dxa"/>
            <w:shd w:val="pct5" w:color="auto" w:fill="auto"/>
          </w:tcPr>
          <w:p w14:paraId="12A27C03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h</w:t>
            </w:r>
            <w:r w:rsidRPr="00E837D6">
              <w:rPr>
                <w:rFonts w:ascii="Arial" w:hAnsi="Arial" w:cs="Arial"/>
                <w:color w:val="333333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669" w:type="dxa"/>
            <w:shd w:val="pct5" w:color="auto" w:fill="auto"/>
          </w:tcPr>
          <w:p w14:paraId="7E7C33FC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H</w:t>
            </w:r>
          </w:p>
        </w:tc>
        <w:tc>
          <w:tcPr>
            <w:tcW w:w="669" w:type="dxa"/>
            <w:shd w:val="pct5" w:color="auto" w:fill="auto"/>
          </w:tcPr>
          <w:p w14:paraId="7DE353E3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H</w:t>
            </w:r>
            <w:r w:rsidRPr="00E837D6">
              <w:rPr>
                <w:rFonts w:ascii="Arial" w:hAnsi="Arial" w:cs="Arial"/>
                <w:color w:val="333333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669" w:type="dxa"/>
            <w:shd w:val="pct5" w:color="auto" w:fill="auto"/>
          </w:tcPr>
          <w:p w14:paraId="151629B9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H</w:t>
            </w:r>
            <w:r w:rsidRPr="00E837D6">
              <w:rPr>
                <w:rFonts w:ascii="Arial" w:hAnsi="Arial" w:cs="Arial"/>
                <w:color w:val="333333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669" w:type="dxa"/>
            <w:shd w:val="pct5" w:color="auto" w:fill="auto"/>
          </w:tcPr>
          <w:p w14:paraId="0E4B543C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H</w:t>
            </w:r>
            <w:r w:rsidRPr="00E837D6">
              <w:rPr>
                <w:rFonts w:ascii="Arial" w:hAnsi="Arial" w:cs="Arial"/>
                <w:color w:val="333333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669" w:type="dxa"/>
            <w:shd w:val="pct5" w:color="auto" w:fill="auto"/>
          </w:tcPr>
          <w:p w14:paraId="7AEB33D9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H</w:t>
            </w:r>
            <w:r w:rsidRPr="00E837D6">
              <w:rPr>
                <w:rFonts w:ascii="Arial" w:hAnsi="Arial" w:cs="Arial"/>
                <w:color w:val="333333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669" w:type="dxa"/>
            <w:shd w:val="pct5" w:color="auto" w:fill="auto"/>
          </w:tcPr>
          <w:p w14:paraId="2C30F28F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d</w:t>
            </w:r>
          </w:p>
        </w:tc>
        <w:tc>
          <w:tcPr>
            <w:tcW w:w="669" w:type="dxa"/>
            <w:shd w:val="pct5" w:color="auto" w:fill="auto"/>
          </w:tcPr>
          <w:p w14:paraId="6CD632FC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d</w:t>
            </w:r>
            <w:r w:rsidRPr="00E837D6">
              <w:rPr>
                <w:rFonts w:ascii="Arial" w:hAnsi="Arial" w:cs="Arial"/>
                <w:color w:val="333333"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669" w:type="dxa"/>
            <w:shd w:val="pct5" w:color="auto" w:fill="auto"/>
          </w:tcPr>
          <w:p w14:paraId="706EE1FC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d</w:t>
            </w:r>
            <w:r w:rsidRPr="00E837D6">
              <w:rPr>
                <w:rFonts w:ascii="Arial" w:hAnsi="Arial" w:cs="Arial"/>
                <w:color w:val="333333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669" w:type="dxa"/>
            <w:shd w:val="pct5" w:color="auto" w:fill="auto"/>
          </w:tcPr>
          <w:p w14:paraId="68E064E0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d</w:t>
            </w:r>
            <w:r w:rsidRPr="00E837D6">
              <w:rPr>
                <w:rFonts w:ascii="Arial" w:hAnsi="Arial" w:cs="Arial"/>
                <w:color w:val="333333"/>
                <w:sz w:val="26"/>
                <w:szCs w:val="26"/>
                <w:vertAlign w:val="subscript"/>
                <w:lang w:val="en-US"/>
              </w:rPr>
              <w:t>3</w:t>
            </w:r>
          </w:p>
        </w:tc>
      </w:tr>
      <w:tr w:rsidR="001718EB" w:rsidRPr="00E837D6" w14:paraId="676AAFAE" w14:textId="77777777" w:rsidTr="001718EB">
        <w:trPr>
          <w:trHeight w:val="422"/>
        </w:trPr>
        <w:tc>
          <w:tcPr>
            <w:tcW w:w="1526" w:type="dxa"/>
            <w:shd w:val="clear" w:color="auto" w:fill="auto"/>
          </w:tcPr>
          <w:p w14:paraId="7E18642A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E837D6">
              <w:rPr>
                <w:rFonts w:ascii="Arial" w:hAnsi="Arial" w:cs="Arial"/>
                <w:color w:val="333333"/>
                <w:sz w:val="26"/>
                <w:szCs w:val="26"/>
              </w:rPr>
              <w:t>Значение</w:t>
            </w:r>
          </w:p>
        </w:tc>
        <w:tc>
          <w:tcPr>
            <w:tcW w:w="668" w:type="dxa"/>
            <w:shd w:val="clear" w:color="auto" w:fill="auto"/>
          </w:tcPr>
          <w:p w14:paraId="08C79DD1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6CFE0675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684AA4CC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12A10E56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47AFC61E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3D5054AD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4DCD3A47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55418FEE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4F3B8B01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3A5094A2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4062DA93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2B681D6F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543DF19B" w14:textId="77777777" w:rsidR="00E837D6" w:rsidRPr="00E837D6" w:rsidRDefault="00E837D6" w:rsidP="001718EB">
            <w:pPr>
              <w:spacing w:line="300" w:lineRule="auto"/>
              <w:contextualSpacing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</w:tr>
    </w:tbl>
    <w:p w14:paraId="02E2A764" w14:textId="77777777" w:rsidR="00E837D6" w:rsidRPr="00E837D6" w:rsidRDefault="00E837D6" w:rsidP="00E837D6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14:paraId="434ED8AE" w14:textId="77777777" w:rsidR="00EE0510" w:rsidRPr="00F51E0B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sectPr w:rsidR="00EE0510" w:rsidRPr="00F51E0B" w:rsidSect="00A83BF0">
      <w:headerReference w:type="default" r:id="rId9"/>
      <w:footerReference w:type="default" r:id="rId10"/>
      <w:pgSz w:w="11906" w:h="16838"/>
      <w:pgMar w:top="1134" w:right="850" w:bottom="851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627B" w14:textId="77777777"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14:paraId="668644B1" w14:textId="77777777"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charset w:val="CC"/>
    <w:family w:val="swiss"/>
    <w:pitch w:val="variable"/>
    <w:sig w:usb0="20000287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A259" w14:textId="77777777"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CF46B" wp14:editId="0A599360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629C7"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14:paraId="23D01C02" w14:textId="0FF98143" w:rsidR="009F0819" w:rsidRDefault="009F0819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      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</w:t>
    </w:r>
    <w:r w:rsidR="00B66268">
      <w:rPr>
        <w:noProof/>
        <w:lang w:eastAsia="ru-RU"/>
      </w:rPr>
      <w:t xml:space="preserve">                   </w:t>
    </w:r>
  </w:p>
  <w:p w14:paraId="01CF2CF5" w14:textId="55BCD24E" w:rsidR="002D4162" w:rsidRDefault="002D41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3F5A" w14:textId="77777777"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14:paraId="79965832" w14:textId="77777777"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D8B2" w14:textId="3828E7F3" w:rsidR="00A83BF0" w:rsidRPr="009B2A13" w:rsidRDefault="00A83BF0" w:rsidP="00A83BF0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drawing>
        <wp:inline distT="0" distB="0" distL="0" distR="0" wp14:anchorId="565A3F93" wp14:editId="429DBB58">
          <wp:extent cx="6477000" cy="9906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70CE4" w14:textId="77777777" w:rsidR="00A83BF0" w:rsidRDefault="00A83BF0" w:rsidP="00A83BF0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5ED653B4" w14:textId="77777777" w:rsidR="00A83BF0" w:rsidRPr="00B658C5" w:rsidRDefault="00A83BF0" w:rsidP="00A83BF0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5F56082A" w14:textId="77777777" w:rsidR="00A83BF0" w:rsidRDefault="00A83BF0" w:rsidP="00A83BF0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0284230E" w14:textId="77777777" w:rsidR="00A83BF0" w:rsidRPr="00B658C5" w:rsidRDefault="00A83BF0" w:rsidP="00A83BF0">
    <w:pPr>
      <w:pStyle w:val="a6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E643AD">
      <w:rPr>
        <w:rFonts w:ascii="Times New Roman" w:hAnsi="Times New Roman"/>
        <w:sz w:val="24"/>
        <w:szCs w:val="24"/>
        <w:lang w:val="en-US"/>
      </w:rPr>
      <w:t>tvpolimer.ru</w:t>
    </w:r>
  </w:p>
  <w:p w14:paraId="67F3BA83" w14:textId="77777777" w:rsidR="00A83BF0" w:rsidRDefault="00A83B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718EB"/>
    <w:rsid w:val="0018361D"/>
    <w:rsid w:val="00253E38"/>
    <w:rsid w:val="00284B3F"/>
    <w:rsid w:val="002C4EB3"/>
    <w:rsid w:val="002D4162"/>
    <w:rsid w:val="00300030"/>
    <w:rsid w:val="00353B4F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5C6C3F"/>
    <w:rsid w:val="005D7B25"/>
    <w:rsid w:val="00604BF7"/>
    <w:rsid w:val="00656066"/>
    <w:rsid w:val="00725F01"/>
    <w:rsid w:val="007767E2"/>
    <w:rsid w:val="007F6428"/>
    <w:rsid w:val="008243CF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A83BF0"/>
    <w:rsid w:val="00B161E0"/>
    <w:rsid w:val="00B21442"/>
    <w:rsid w:val="00B242DD"/>
    <w:rsid w:val="00B35B75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C3039"/>
    <w:rsid w:val="00DD12CE"/>
    <w:rsid w:val="00DE63C1"/>
    <w:rsid w:val="00DF7A38"/>
    <w:rsid w:val="00E05243"/>
    <w:rsid w:val="00E17EAE"/>
    <w:rsid w:val="00E37B84"/>
    <w:rsid w:val="00E41D5D"/>
    <w:rsid w:val="00E6203F"/>
    <w:rsid w:val="00E7098D"/>
    <w:rsid w:val="00E837D6"/>
    <w:rsid w:val="00E86B4E"/>
    <w:rsid w:val="00ED4AC0"/>
    <w:rsid w:val="00EE0510"/>
    <w:rsid w:val="00EF0C13"/>
    <w:rsid w:val="00EF1AA2"/>
    <w:rsid w:val="00F440A4"/>
    <w:rsid w:val="00F51E0B"/>
    <w:rsid w:val="00F7444D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09CBED"/>
  <w15:docId w15:val="{882732AC-9AB7-4A09-9C75-EC01E5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EE0510"/>
    <w:pPr>
      <w:spacing w:after="0" w:line="240" w:lineRule="auto"/>
    </w:pPr>
    <w:rPr>
      <w:rFonts w:ascii="Myriad Pro" w:hAnsi="Myriad Pro"/>
      <w:color w:val="000000" w:themeColor="text1" w:themeShade="BF"/>
    </w:rPr>
    <w:tblPr>
      <w:tblStyleRowBandSize w:val="1"/>
      <w:tblStyleColBandSize w:val="1"/>
      <w:tblBorders>
        <w:top w:val="single" w:sz="6" w:space="0" w:color="F2F2F2" w:themeColor="background1" w:themeShade="F2"/>
        <w:bottom w:val="single" w:sz="6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BA60-8A87-4AC4-97B5-B49C5EDD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Skear Xz</cp:lastModifiedBy>
  <cp:revision>2</cp:revision>
  <cp:lastPrinted>2015-08-26T11:39:00Z</cp:lastPrinted>
  <dcterms:created xsi:type="dcterms:W3CDTF">2020-06-30T11:52:00Z</dcterms:created>
  <dcterms:modified xsi:type="dcterms:W3CDTF">2020-06-30T11:52:00Z</dcterms:modified>
</cp:coreProperties>
</file>